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4E2189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="004E2189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A445E5" w:rsidRPr="008478B3" w:rsidRDefault="00A445E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915A7A" w:rsidRPr="00915A7A" w:rsidRDefault="00522CC5" w:rsidP="00915A7A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="00915A7A" w:rsidRPr="00915A7A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915A7A" w:rsidRPr="00915A7A" w:rsidRDefault="00915A7A" w:rsidP="00915A7A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915A7A">
        <w:rPr>
          <w:rFonts w:ascii="Arial" w:eastAsia="Calibri" w:hAnsi="Arial" w:cs="Arial"/>
          <w:sz w:val="24"/>
          <w:szCs w:val="24"/>
        </w:rPr>
        <w:t xml:space="preserve">A Képviselő-testület 9 igen szavazattal, 1 ellenszavazattal és 1 tartózkodás mellett az alábbi határozatot hozta: </w:t>
      </w:r>
    </w:p>
    <w:p w:rsidR="00915A7A" w:rsidRPr="00915A7A" w:rsidRDefault="00915A7A" w:rsidP="00915A7A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915A7A" w:rsidRPr="00915A7A" w:rsidRDefault="00915A7A" w:rsidP="00915A7A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915A7A">
        <w:rPr>
          <w:rFonts w:ascii="Arial" w:eastAsia="Times New Roman" w:hAnsi="Arial" w:cs="Arial"/>
          <w:b/>
          <w:i/>
          <w:sz w:val="24"/>
          <w:szCs w:val="20"/>
          <w:u w:val="single"/>
        </w:rPr>
        <w:t>61/2021. (IX.23</w:t>
      </w:r>
      <w:r w:rsidRPr="00915A7A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915A7A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915A7A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915A7A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915A7A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915A7A" w:rsidRPr="00915A7A" w:rsidRDefault="00915A7A" w:rsidP="00915A7A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915A7A" w:rsidRPr="00915A7A" w:rsidRDefault="00915A7A" w:rsidP="00915A7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15A7A">
        <w:rPr>
          <w:rFonts w:ascii="Times New Roman" w:eastAsia="Times New Roman" w:hAnsi="Times New Roman" w:cs="Times New Roman"/>
          <w:sz w:val="24"/>
          <w:szCs w:val="24"/>
          <w:lang w:eastAsia="zh-CN"/>
        </w:rPr>
        <w:t>Orosháza</w:t>
      </w:r>
      <w:r w:rsidRPr="00915A7A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915A7A">
        <w:rPr>
          <w:rFonts w:ascii="Times New Roman" w:eastAsia="Times New Roman" w:hAnsi="Times New Roman" w:cs="Times New Roman"/>
          <w:sz w:val="24"/>
          <w:szCs w:val="24"/>
          <w:lang w:eastAsia="zh-CN"/>
        </w:rPr>
        <w:t>Város</w:t>
      </w:r>
      <w:r w:rsidRPr="00915A7A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915A7A">
        <w:rPr>
          <w:rFonts w:ascii="Times New Roman" w:eastAsia="Times New Roman" w:hAnsi="Times New Roman" w:cs="Times New Roman"/>
          <w:sz w:val="24"/>
          <w:szCs w:val="24"/>
          <w:lang w:eastAsia="zh-CN"/>
        </w:rPr>
        <w:t>Önkormányzat</w:t>
      </w:r>
      <w:r w:rsidRPr="00915A7A">
        <w:rPr>
          <w:rFonts w:ascii="Times New Roman" w:eastAsia="Arial" w:hAnsi="Times New Roman" w:cs="Times New Roman"/>
          <w:sz w:val="24"/>
          <w:szCs w:val="24"/>
          <w:lang w:eastAsia="zh-CN"/>
        </w:rPr>
        <w:t xml:space="preserve"> </w:t>
      </w:r>
      <w:r w:rsidRPr="00915A7A">
        <w:rPr>
          <w:rFonts w:ascii="Times New Roman" w:eastAsia="Times New Roman" w:hAnsi="Times New Roman" w:cs="Times New Roman"/>
          <w:sz w:val="24"/>
          <w:szCs w:val="24"/>
          <w:lang w:eastAsia="zh-CN"/>
        </w:rPr>
        <w:t>Képviselő-testülete:</w:t>
      </w:r>
    </w:p>
    <w:p w:rsidR="00915A7A" w:rsidRPr="00915A7A" w:rsidRDefault="00915A7A" w:rsidP="00915A7A">
      <w:pPr>
        <w:keepLines/>
        <w:widowControl w:val="0"/>
        <w:numPr>
          <w:ilvl w:val="0"/>
          <w:numId w:val="9"/>
        </w:numPr>
        <w:suppressAutoHyphens/>
        <w:spacing w:after="0" w:line="240" w:lineRule="auto"/>
        <w:ind w:left="714"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15A7A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dönt arról, hogy a „Villamos energia beszerzés 24 hónapra” tárgyú közbeszerzési eljárás esetében a közbeszerzési feladatok ellátása tárgyában a JT </w:t>
      </w:r>
      <w:proofErr w:type="spellStart"/>
      <w:r w:rsidRPr="00915A7A">
        <w:rPr>
          <w:rFonts w:ascii="Times New Roman" w:eastAsia="Times New Roman" w:hAnsi="Times New Roman" w:cs="Times New Roman"/>
          <w:sz w:val="24"/>
          <w:szCs w:val="24"/>
          <w:lang w:eastAsia="zh-CN"/>
        </w:rPr>
        <w:t>Infotéka</w:t>
      </w:r>
      <w:proofErr w:type="spellEnd"/>
      <w:r w:rsidRPr="00915A7A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Kft. (6400 Kiskunhalas, Kossuth u. 27. fszt. 1.) megbízási szerződéstervezetében foglalt, a szerződésszegésért való felelősség korlátozására vonatkozó rendelkezéseket elfogadja az alábbiak szerint:</w:t>
      </w:r>
    </w:p>
    <w:p w:rsidR="00915A7A" w:rsidRPr="00915A7A" w:rsidRDefault="00915A7A" w:rsidP="00915A7A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15A7A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„6.5. Felek rögzítik, hogy Megbízott rendelkezik a 257/2018. (XII. 18.) Korm. rendelet a felelős akkreditált közbeszerzési szaktanácsadói tevékenységről c. jogszabály szerinti, előírásainak megfelelő közbeszerzési szakmai felelősségbiztosítással - amelyben az eljáró felelős akkreditált közbeszerzési szaktanácsadó</w:t>
      </w:r>
      <w:bookmarkStart w:id="0" w:name="_GoBack"/>
      <w:bookmarkEnd w:id="0"/>
      <w:r w:rsidRPr="00915A7A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k név szerint megjelölésre kerültek - és azt a megbízási szerződés teljes időtartama alatt fenntartja. A biztosítási kötvények a szerződés 1. sz. mellékletét képezik. A Felek továbbá a Ptk. 6:143. §</w:t>
      </w:r>
      <w:proofErr w:type="spellStart"/>
      <w:r w:rsidRPr="00915A7A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-ában</w:t>
      </w:r>
      <w:proofErr w:type="spellEnd"/>
      <w:r w:rsidRPr="00915A7A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 foglaltakra is tekintettel rögzítik, hogy a felelős akkreditált közbeszerzési szaktanácsadói tevékenység körében okozott kárért a szaktanácsadót, ill. a 257/2018. (XII. 18.) Korm. rendelet 19. § (1) bekezdése, a Ptk. és a 2012. évi I. törvény (Mt.) rendelkezései alapján a Megbízottat terhelő kártérítési felelősség elsődlegesen arra a kárra terjed ki, illetve a kár felső összeghatára az az összeg, amelyre vonatkozóan a felelős akkreditált közbeszerzési szaktanácsadó (FAKSZ) tevékenységre vonatkozó, a szerződéshez csatolt kötvényekkel igazolt közbeszerzési szakmai felelősségbiztosítás fedezetet nyújt. Fedezet nyújtásán a Felek azt értik, hogy az adott kárt a biztosító ténylegesen megtéríti.</w:t>
      </w:r>
    </w:p>
    <w:p w:rsidR="00915A7A" w:rsidRPr="00915A7A" w:rsidRDefault="00915A7A" w:rsidP="00915A7A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15A7A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Tekintettel arra, hogy a tevékenység végzéséhez szükséges biztosítás jogszabály (257/2018. (XII. 18.) Korm. rendelet), illetve a Megbízott szerződőn kívüli körülmények (biztosítók által kínált biztosítási termékek) által meghatározott, így a korlátozást a Megbízó kifejezetten tudomásul veszi és elfogadja és a megbízotti teljesítés érdekével arányosnak tartja.</w:t>
      </w:r>
    </w:p>
    <w:p w:rsidR="00915A7A" w:rsidRPr="00915A7A" w:rsidRDefault="00915A7A" w:rsidP="00915A7A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15A7A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Amennyiben a felelősségbiztosítás – ill. az alapján a biztosító – egyáltalán nem, vagy a bruttó megbízási díj összegtől elmaradó mértékben fedezi a kárt, úgy a kár megtérítésére másodlagosan a Megbízott által a megbízási díj terhére, annak bruttó összegéig történhet (adott esetben együttesen figyelembe véve a biztosításból származó, ill. Megbízott által közvetlenül térítendő összeget).</w:t>
      </w:r>
    </w:p>
    <w:p w:rsidR="00915A7A" w:rsidRPr="00915A7A" w:rsidRDefault="00915A7A" w:rsidP="00915A7A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</w:p>
    <w:p w:rsidR="00915A7A" w:rsidRPr="00915A7A" w:rsidRDefault="00915A7A" w:rsidP="00915A7A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15A7A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6.6. Felek rögzítik, hogy a Megbízott, ill. ennek keretében a szaktanácsadó felelőssége bármely jelen szerződéshez kapcsolódó károkozás miatt (ide nem értve a szándékosságot) maximum a 6.5. pont szerint a biztosító által megtérített összegig, ennek hiányában maximum a bruttó megbízási díj összegéig áll fenn, vagyis a Megbízottat a szerződésszegésért való felelősség a bruttó megbízási díj összegéig terheli. Felek az ezt meghaladó, jelen szerződés megbízotti teljesítéséből fakadó anyagi </w:t>
      </w:r>
      <w:r w:rsidRPr="00915A7A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lastRenderedPageBreak/>
        <w:t>felelősséget kizárják. Felek kijelentik, hogy a Megbízott jelen szerződésben írt díjazása a Megbízott jelen szerződésben rögzített felelősség korlátozásával arányos. A szerződéses cél elérése érdekében Felek egyedi feltételként kifejezetten megállapodnak a 6.5. és 6.6. pontban rögzítettek szerint.”</w:t>
      </w:r>
    </w:p>
    <w:p w:rsidR="00915A7A" w:rsidRPr="00915A7A" w:rsidRDefault="00915A7A" w:rsidP="00915A7A">
      <w:pPr>
        <w:keepLines/>
        <w:widowControl w:val="0"/>
        <w:numPr>
          <w:ilvl w:val="0"/>
          <w:numId w:val="9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15A7A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dönt arról, hogy a „Kommunális gépbeszerzés” tárgyú közbeszerzési eljárás esetében a közbeszerzési feladatok ellátása tárgyában a BUDAPORTA Közbeszerzési Tanácsadó Kft. (2040 Budaörs, </w:t>
      </w:r>
      <w:proofErr w:type="spellStart"/>
      <w:r w:rsidRPr="00915A7A">
        <w:rPr>
          <w:rFonts w:ascii="Times New Roman" w:eastAsia="Times New Roman" w:hAnsi="Times New Roman" w:cs="Times New Roman"/>
          <w:sz w:val="24"/>
          <w:szCs w:val="24"/>
          <w:lang w:eastAsia="zh-CN"/>
        </w:rPr>
        <w:t>Ébner</w:t>
      </w:r>
      <w:proofErr w:type="spellEnd"/>
      <w:r w:rsidRPr="00915A7A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György köz 4.) megbízási szerződéstervezetében foglalt, a szerződésszegésért való felelősség korlátozására vonatkozó rendelkezéseket elfogadja az alábbiak szerint:</w:t>
      </w:r>
    </w:p>
    <w:p w:rsidR="00915A7A" w:rsidRPr="00915A7A" w:rsidRDefault="00915A7A" w:rsidP="00915A7A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15A7A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„</w:t>
      </w:r>
      <w:proofErr w:type="gramStart"/>
      <w:r w:rsidRPr="00915A7A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Megbízott felelőssége: Amennyiben bármely, a Megbízó tevékenységének, különösen a részére folyósított állami támogatás jogszerű felhasználásának ellenőrzésére hatáskörrel rendelkező szerv, az általa elvégzett ellenőrzés során, a Megbízott közreműködésével lefolytatott közbeszerzési eljárás során közbeszerzési jogsértést, vagy a közbeszerzési eljárás jogtalan mellőzését állapítja meg, ezen megállapítás jogkövetkezményeként a Megbízót kár éri – ide értve különösen, de nem kizárólag az állami támogatás lehívhatóságának megtagadását, vagy egy részének visszafizetésére vonatkozó kötelezettséget is</w:t>
      </w:r>
      <w:proofErr w:type="gramEnd"/>
      <w:r w:rsidRPr="00915A7A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 – úgy Megbízott FAKSZ felelősségbiztosításának mértékéig kárfelelősséggel tartozik, amennyiben a közbeszerzési jogsértés, vagy a közbeszerzési eljárás mellőzése a Megbízott tevékenységére visszavezethető okból következett be. Felek rögzítik, hogy a közbeszerzési jogsértést kizárólag a Közbeszerzési Döntőbizottság és a Közbeszerzési Döntőbizottság határozatának felülvizsgálatát követően bíróság állapíthat meg.”</w:t>
      </w:r>
    </w:p>
    <w:p w:rsidR="00915A7A" w:rsidRPr="00915A7A" w:rsidRDefault="00915A7A" w:rsidP="00915A7A">
      <w:pPr>
        <w:keepLines/>
        <w:widowControl w:val="0"/>
        <w:numPr>
          <w:ilvl w:val="0"/>
          <w:numId w:val="9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15A7A">
        <w:rPr>
          <w:rFonts w:ascii="Times New Roman" w:eastAsia="Times New Roman" w:hAnsi="Times New Roman" w:cs="Times New Roman"/>
          <w:sz w:val="24"/>
          <w:szCs w:val="24"/>
          <w:lang w:eastAsia="zh-CN"/>
        </w:rPr>
        <w:t>felhatalmazza a polgármestert a fenti tartalmú szerződésszegésért történő felelősségkorlátozást tartalmazó, közbeszerzési feladatellátásra vonatkozó megbízási szerződések aláírására.</w:t>
      </w:r>
    </w:p>
    <w:p w:rsidR="00915A7A" w:rsidRPr="00915A7A" w:rsidRDefault="00915A7A" w:rsidP="00915A7A">
      <w:pPr>
        <w:widowControl w:val="0"/>
        <w:suppressAutoHyphens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915A7A" w:rsidRPr="00915A7A" w:rsidRDefault="00915A7A" w:rsidP="00915A7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15A7A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Végrehajtásért felelős:</w:t>
      </w:r>
      <w:r w:rsidRPr="00915A7A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  <w:t>Dávid Zoltán polgármester a megbízási szerződés aláírásáért.</w:t>
      </w:r>
    </w:p>
    <w:p w:rsidR="00915A7A" w:rsidRPr="00915A7A" w:rsidRDefault="00915A7A" w:rsidP="00915A7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15A7A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Határidő:</w:t>
      </w:r>
      <w:r w:rsidRPr="00915A7A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915A7A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915A7A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  <w:r w:rsidRPr="00915A7A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  <w:t>értelem szerint</w:t>
      </w:r>
    </w:p>
    <w:p w:rsidR="003E2FD1" w:rsidRPr="003E2FD1" w:rsidRDefault="003E2FD1" w:rsidP="00915A7A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:rsidR="00A445E5" w:rsidRPr="00A445E5" w:rsidRDefault="00A445E5" w:rsidP="003E2FD1">
      <w:pPr>
        <w:widowControl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01285F" w:rsidRPr="0001285F" w:rsidRDefault="0001285F" w:rsidP="00A445E5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  <w:lang w:eastAsia="zh-CN"/>
        </w:rPr>
      </w:pPr>
    </w:p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Dávid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>sk.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454EA0" w:rsidRDefault="00454EA0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</w:p>
    <w:p w:rsidR="00A445E5" w:rsidRDefault="00A445E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BB5E01" w:rsidRDefault="00522CC5" w:rsidP="00522CC5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4E2189" w:rsidRDefault="004E2189" w:rsidP="00915A7A"/>
    <w:sectPr w:rsidR="004E2189" w:rsidSect="00A445E5">
      <w:pgSz w:w="11906" w:h="16838"/>
      <w:pgMar w:top="1560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803F1"/>
    <w:multiLevelType w:val="hybridMultilevel"/>
    <w:tmpl w:val="D966D2FE"/>
    <w:lvl w:ilvl="0" w:tplc="85F6C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305A81"/>
    <w:multiLevelType w:val="hybridMultilevel"/>
    <w:tmpl w:val="9E6AC69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723AD8"/>
    <w:multiLevelType w:val="hybridMultilevel"/>
    <w:tmpl w:val="8EAAAB58"/>
    <w:lvl w:ilvl="0" w:tplc="727A1A60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016450"/>
    <w:multiLevelType w:val="hybridMultilevel"/>
    <w:tmpl w:val="2108BC64"/>
    <w:lvl w:ilvl="0" w:tplc="040E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4676E0"/>
    <w:multiLevelType w:val="hybridMultilevel"/>
    <w:tmpl w:val="657244DE"/>
    <w:lvl w:ilvl="0" w:tplc="E84EBD8E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452B4EF7"/>
    <w:multiLevelType w:val="hybridMultilevel"/>
    <w:tmpl w:val="CA768D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045ED2"/>
    <w:multiLevelType w:val="multilevel"/>
    <w:tmpl w:val="D29C6B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01285F"/>
    <w:rsid w:val="002547E9"/>
    <w:rsid w:val="003E2FD1"/>
    <w:rsid w:val="00454EA0"/>
    <w:rsid w:val="004E2189"/>
    <w:rsid w:val="00522CC5"/>
    <w:rsid w:val="008433D8"/>
    <w:rsid w:val="008E3135"/>
    <w:rsid w:val="008F0F90"/>
    <w:rsid w:val="0090000C"/>
    <w:rsid w:val="00915A7A"/>
    <w:rsid w:val="00A445E5"/>
    <w:rsid w:val="00BB5E01"/>
    <w:rsid w:val="00C60C9B"/>
    <w:rsid w:val="00EA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22CC5"/>
    <w:pPr>
      <w:ind w:left="720"/>
      <w:contextualSpacing/>
    </w:pPr>
  </w:style>
  <w:style w:type="table" w:styleId="Rcsostblzat">
    <w:name w:val="Table Grid"/>
    <w:basedOn w:val="Normltblzat"/>
    <w:uiPriority w:val="59"/>
    <w:rsid w:val="003E2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669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2021-10-05T08:36:00Z</dcterms:created>
  <dcterms:modified xsi:type="dcterms:W3CDTF">2021-10-05T08:37:00Z</dcterms:modified>
</cp:coreProperties>
</file>